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DF" w:rsidRPr="007A6DC1" w:rsidRDefault="00965FDF" w:rsidP="00661AF9">
      <w:pPr>
        <w:pStyle w:val="NoSpacing"/>
      </w:pPr>
    </w:p>
    <w:p w:rsidR="00D21A04" w:rsidRPr="00D21A04" w:rsidRDefault="00D21A04">
      <w:pPr>
        <w:rPr>
          <w:rFonts w:ascii="Candara" w:hAnsi="Candara"/>
          <w:b/>
          <w:i/>
          <w:color w:val="FF0000"/>
          <w:u w:val="single"/>
        </w:rPr>
      </w:pPr>
      <w:r w:rsidRPr="00D21A04">
        <w:rPr>
          <w:rFonts w:ascii="Candara" w:hAnsi="Candara"/>
          <w:b/>
          <w:i/>
          <w:color w:val="FF0000"/>
          <w:u w:val="single"/>
        </w:rPr>
        <w:t>12 Military Opposition Worksheet One</w:t>
      </w:r>
    </w:p>
    <w:p w:rsidR="00426C5A" w:rsidRPr="007A6DC1" w:rsidRDefault="00426C5A">
      <w:pPr>
        <w:rPr>
          <w:rFonts w:ascii="Candara" w:hAnsi="Candara"/>
          <w:b/>
        </w:rPr>
      </w:pPr>
      <w:r w:rsidRPr="007A6DC1">
        <w:rPr>
          <w:rFonts w:ascii="Candara" w:hAnsi="Candara"/>
          <w:b/>
        </w:rPr>
        <w:t>The army officer: General Ludwig Beck (1180-1944)</w:t>
      </w:r>
    </w:p>
    <w:p w:rsidR="00426C5A" w:rsidRPr="007A6DC1" w:rsidRDefault="00426C5A">
      <w:pPr>
        <w:rPr>
          <w:rFonts w:ascii="Candara" w:hAnsi="Candara"/>
        </w:rPr>
      </w:pPr>
      <w:r w:rsidRPr="007A6DC1">
        <w:rPr>
          <w:rFonts w:ascii="Candara" w:hAnsi="Candara"/>
        </w:rPr>
        <w:t xml:space="preserve">Beck described President </w:t>
      </w:r>
      <w:proofErr w:type="spellStart"/>
      <w:r w:rsidRPr="007A6DC1">
        <w:rPr>
          <w:rFonts w:ascii="Candara" w:hAnsi="Candara"/>
        </w:rPr>
        <w:t>Hindernburg’s</w:t>
      </w:r>
      <w:proofErr w:type="spellEnd"/>
      <w:r w:rsidRPr="007A6DC1">
        <w:rPr>
          <w:rFonts w:ascii="Candara" w:hAnsi="Candara"/>
        </w:rPr>
        <w:t xml:space="preserve"> death on 2 August 1934 as the blackest day of his life. Hitler proclaimed himself Supreme Commander of the Armed Forces and made Beck the army’s chief of staff</w:t>
      </w:r>
      <w:r w:rsidR="007A6DC1" w:rsidRPr="007A6DC1">
        <w:rPr>
          <w:rFonts w:ascii="Candara" w:hAnsi="Candara"/>
        </w:rPr>
        <w:t xml:space="preserve"> (1933-1938). In May 1938, Hitler told the generals of his unalterable aim to attack Czechoslovakia. Beck was opposed, as the army was not ready for general war. He tried to organise all the chiefs of staff to threaten resignatio</w:t>
      </w:r>
      <w:r w:rsidR="007A6DC1">
        <w:rPr>
          <w:rFonts w:ascii="Candara" w:hAnsi="Candara"/>
        </w:rPr>
        <w:t xml:space="preserve">n over Hitler’s radical approach, but the new commander in chief General Walther von </w:t>
      </w:r>
      <w:proofErr w:type="spellStart"/>
      <w:r w:rsidR="007A6DC1">
        <w:rPr>
          <w:rFonts w:ascii="Candara" w:hAnsi="Candara"/>
        </w:rPr>
        <w:t>Brauchitsch</w:t>
      </w:r>
      <w:proofErr w:type="spellEnd"/>
      <w:r w:rsidR="007A6DC1">
        <w:rPr>
          <w:rFonts w:ascii="Candara" w:hAnsi="Candara"/>
        </w:rPr>
        <w:t xml:space="preserve"> failed to give his support. In August 1938 Beck resigned commenting to a colleague: ‘What is that dog doing to our beautiful Germany?’ Beck conceived a plan for a march on Berlin, but called it off after Hitler gained the Sudetenland. Many other generals, aware of the plotting, had a wait and see attitude to these activities. Beck remained in contact with various opposition circles. In 1944 he was shot for his involvement in the Bomb Plot</w:t>
      </w:r>
    </w:p>
    <w:p w:rsidR="00426C5A" w:rsidRDefault="00426C5A">
      <w:pPr>
        <w:rPr>
          <w:rFonts w:ascii="Candara" w:hAnsi="Candara"/>
          <w:b/>
        </w:rPr>
      </w:pPr>
      <w:r w:rsidRPr="007A6DC1">
        <w:rPr>
          <w:rFonts w:ascii="Candara" w:hAnsi="Candara"/>
          <w:b/>
        </w:rPr>
        <w:t xml:space="preserve">The army officer: Colonel Claus Schenk Graf von </w:t>
      </w:r>
      <w:proofErr w:type="spellStart"/>
      <w:r w:rsidRPr="007A6DC1">
        <w:rPr>
          <w:rFonts w:ascii="Candara" w:hAnsi="Candara"/>
          <w:b/>
        </w:rPr>
        <w:t>Stauffenberg</w:t>
      </w:r>
      <w:proofErr w:type="spellEnd"/>
      <w:r w:rsidRPr="007A6DC1">
        <w:rPr>
          <w:rFonts w:ascii="Candara" w:hAnsi="Candara"/>
          <w:b/>
        </w:rPr>
        <w:t xml:space="preserve"> (1907-1944)</w:t>
      </w:r>
    </w:p>
    <w:p w:rsidR="007A6DC1" w:rsidRPr="00661AF9" w:rsidRDefault="00661AF9">
      <w:pPr>
        <w:rPr>
          <w:rFonts w:ascii="Candara" w:hAnsi="Candara"/>
        </w:rPr>
      </w:pPr>
      <w:r w:rsidRPr="00661AF9">
        <w:rPr>
          <w:rFonts w:ascii="Candara" w:hAnsi="Candara"/>
        </w:rPr>
        <w:t xml:space="preserve">Colonel </w:t>
      </w:r>
      <w:proofErr w:type="spellStart"/>
      <w:r w:rsidRPr="00661AF9">
        <w:rPr>
          <w:rFonts w:ascii="Candara" w:hAnsi="Candara"/>
        </w:rPr>
        <w:t>Stauffenbery</w:t>
      </w:r>
      <w:proofErr w:type="spellEnd"/>
      <w:r w:rsidRPr="00661AF9">
        <w:rPr>
          <w:rFonts w:ascii="Candara" w:hAnsi="Candara"/>
        </w:rPr>
        <w:t xml:space="preserve"> was an aristocratic soldier. An able and ambitious officer, he was in the army High Command by 1940. He had a monarchist distaste for Hitler and was horrified by the SS barbarities in the USSR. In September 1942, at the army High Command, one general urged that they must tell Hitler the truth about the military disaster. </w:t>
      </w:r>
      <w:proofErr w:type="spellStart"/>
      <w:r w:rsidRPr="00661AF9">
        <w:rPr>
          <w:rFonts w:ascii="Candara" w:hAnsi="Candara"/>
        </w:rPr>
        <w:t>Stauffenberg</w:t>
      </w:r>
      <w:proofErr w:type="spellEnd"/>
      <w:r w:rsidRPr="00661AF9">
        <w:rPr>
          <w:rFonts w:ascii="Candara" w:hAnsi="Candara"/>
        </w:rPr>
        <w:t xml:space="preserve"> replied, ‘it is not a question of telling him the </w:t>
      </w:r>
      <w:r w:rsidR="00977E42" w:rsidRPr="00661AF9">
        <w:rPr>
          <w:rFonts w:ascii="Candara" w:hAnsi="Candara"/>
        </w:rPr>
        <w:t>truth</w:t>
      </w:r>
      <w:r w:rsidRPr="00661AF9">
        <w:rPr>
          <w:rFonts w:ascii="Candara" w:hAnsi="Candara"/>
        </w:rPr>
        <w:t xml:space="preserve">, but of killing him, and I am prepared to do it.’ In 1943 </w:t>
      </w:r>
      <w:proofErr w:type="spellStart"/>
      <w:r w:rsidRPr="00661AF9">
        <w:rPr>
          <w:rFonts w:ascii="Candara" w:hAnsi="Candara"/>
        </w:rPr>
        <w:t>Stauffenberg</w:t>
      </w:r>
      <w:proofErr w:type="spellEnd"/>
      <w:r w:rsidRPr="00661AF9">
        <w:rPr>
          <w:rFonts w:ascii="Candara" w:hAnsi="Candara"/>
        </w:rPr>
        <w:t xml:space="preserve"> was wounded in North Africa and lost his right hand, half of his left hand and his left eye. In July 1944 he twice took bombs into Hitler’s headquarters, but did not use them as Himmler and Goering were not present. On 29 July he went ahead anyway, but Hitler was only wounded. At least 5,000 people said to be ‘involved’ were executed. </w:t>
      </w:r>
    </w:p>
    <w:p w:rsidR="00F30FC9" w:rsidRDefault="00426C5A">
      <w:pPr>
        <w:rPr>
          <w:rFonts w:ascii="Candara" w:hAnsi="Candara"/>
          <w:b/>
        </w:rPr>
      </w:pPr>
      <w:r w:rsidRPr="007A6DC1">
        <w:rPr>
          <w:rFonts w:ascii="Candara" w:hAnsi="Candara"/>
          <w:b/>
        </w:rPr>
        <w:t>The army officer: General Hans Oster (1887-1945)</w:t>
      </w:r>
    </w:p>
    <w:p w:rsidR="00661AF9" w:rsidRDefault="00661AF9">
      <w:pPr>
        <w:rPr>
          <w:rFonts w:ascii="Candara" w:hAnsi="Candara"/>
        </w:rPr>
      </w:pPr>
      <w:r w:rsidRPr="00661AF9">
        <w:rPr>
          <w:rFonts w:ascii="Candara" w:hAnsi="Candara"/>
        </w:rPr>
        <w:t xml:space="preserve">Oster was a member of the General Staff, serving in the Ministry of Defence, and then in the </w:t>
      </w:r>
      <w:proofErr w:type="spellStart"/>
      <w:r w:rsidRPr="00661AF9">
        <w:rPr>
          <w:rFonts w:ascii="Candara" w:hAnsi="Candara"/>
        </w:rPr>
        <w:t>Abwehr</w:t>
      </w:r>
      <w:proofErr w:type="spellEnd"/>
      <w:r w:rsidRPr="00661AF9">
        <w:rPr>
          <w:rFonts w:ascii="Candara" w:hAnsi="Candara"/>
        </w:rPr>
        <w:t xml:space="preserve">. He became </w:t>
      </w:r>
      <w:bookmarkStart w:id="0" w:name="_GoBack"/>
      <w:bookmarkEnd w:id="0"/>
      <w:r w:rsidRPr="00661AF9">
        <w:rPr>
          <w:rFonts w:ascii="Candara" w:hAnsi="Candara"/>
        </w:rPr>
        <w:t>alienated by the 1</w:t>
      </w:r>
      <w:r>
        <w:rPr>
          <w:rFonts w:ascii="Candara" w:hAnsi="Candara"/>
        </w:rPr>
        <w:t xml:space="preserve">934 killing of General </w:t>
      </w:r>
      <w:proofErr w:type="spellStart"/>
      <w:r>
        <w:rPr>
          <w:rFonts w:ascii="Candara" w:hAnsi="Candara"/>
        </w:rPr>
        <w:t>Schleicher</w:t>
      </w:r>
      <w:proofErr w:type="spellEnd"/>
      <w:r>
        <w:rPr>
          <w:rFonts w:ascii="Candara" w:hAnsi="Candara"/>
        </w:rPr>
        <w:t xml:space="preserve"> </w:t>
      </w:r>
      <w:r w:rsidRPr="00661AF9">
        <w:rPr>
          <w:rFonts w:ascii="Candara" w:hAnsi="Candara"/>
        </w:rPr>
        <w:t xml:space="preserve">in the aftermath of the Night of the Long Knives. In 1938 he advised Britain to stand firm against Hitler and sent the British government details of Germany’s military plans. He made contact with trade unionists and Socialist who were actively encouraging resistance and was involved in the 1944 Bomb Plot. He died in </w:t>
      </w:r>
      <w:proofErr w:type="spellStart"/>
      <w:r w:rsidRPr="00661AF9">
        <w:rPr>
          <w:rFonts w:ascii="Candara" w:hAnsi="Candara"/>
        </w:rPr>
        <w:t>Flossenburg</w:t>
      </w:r>
      <w:proofErr w:type="spellEnd"/>
      <w:r w:rsidRPr="00661AF9">
        <w:rPr>
          <w:rFonts w:ascii="Candara" w:hAnsi="Candara"/>
        </w:rPr>
        <w:t xml:space="preserve"> concentration camp four days before Allied troops liberated it. </w:t>
      </w:r>
    </w:p>
    <w:p w:rsidR="005E1412" w:rsidRDefault="005E1412">
      <w:pPr>
        <w:rPr>
          <w:rFonts w:ascii="Candara" w:hAnsi="Candara"/>
        </w:rPr>
      </w:pPr>
    </w:p>
    <w:tbl>
      <w:tblPr>
        <w:tblStyle w:val="TableGrid"/>
        <w:tblW w:w="0" w:type="auto"/>
        <w:tblLook w:val="04A0" w:firstRow="1" w:lastRow="0" w:firstColumn="1" w:lastColumn="0" w:noHBand="0" w:noVBand="1"/>
      </w:tblPr>
      <w:tblGrid>
        <w:gridCol w:w="1822"/>
        <w:gridCol w:w="6933"/>
        <w:gridCol w:w="1927"/>
      </w:tblGrid>
      <w:tr w:rsidR="005E1412" w:rsidTr="005E1412">
        <w:tc>
          <w:tcPr>
            <w:tcW w:w="1822" w:type="dxa"/>
          </w:tcPr>
          <w:p w:rsidR="005E1412" w:rsidRDefault="005E1412">
            <w:pPr>
              <w:rPr>
                <w:rFonts w:ascii="Candara" w:hAnsi="Candara"/>
              </w:rPr>
            </w:pPr>
            <w:r>
              <w:rPr>
                <w:rFonts w:ascii="Candara" w:hAnsi="Candara"/>
              </w:rPr>
              <w:t>Name</w:t>
            </w:r>
          </w:p>
        </w:tc>
        <w:tc>
          <w:tcPr>
            <w:tcW w:w="6933" w:type="dxa"/>
          </w:tcPr>
          <w:p w:rsidR="005E1412" w:rsidRDefault="005E1412">
            <w:pPr>
              <w:rPr>
                <w:rFonts w:ascii="Candara" w:hAnsi="Candara"/>
              </w:rPr>
            </w:pPr>
            <w:r>
              <w:rPr>
                <w:rFonts w:ascii="Candara" w:hAnsi="Candara"/>
              </w:rPr>
              <w:t>Summary of Opposition</w:t>
            </w:r>
          </w:p>
        </w:tc>
        <w:tc>
          <w:tcPr>
            <w:tcW w:w="1927" w:type="dxa"/>
          </w:tcPr>
          <w:p w:rsidR="005E1412" w:rsidRDefault="005E1412">
            <w:pPr>
              <w:rPr>
                <w:rFonts w:ascii="Candara" w:hAnsi="Candara"/>
              </w:rPr>
            </w:pPr>
            <w:r>
              <w:rPr>
                <w:rFonts w:ascii="Candara" w:hAnsi="Candara"/>
              </w:rPr>
              <w:t xml:space="preserve">Success out of 5 </w:t>
            </w:r>
          </w:p>
        </w:tc>
      </w:tr>
      <w:tr w:rsidR="005E1412" w:rsidTr="005E1412">
        <w:tc>
          <w:tcPr>
            <w:tcW w:w="1822" w:type="dxa"/>
          </w:tcPr>
          <w:p w:rsidR="005E1412" w:rsidRDefault="005E1412">
            <w:pPr>
              <w:rPr>
                <w:rFonts w:ascii="Candara" w:hAnsi="Candara"/>
              </w:rPr>
            </w:pPr>
          </w:p>
          <w:p w:rsidR="005E1412" w:rsidRDefault="005E1412">
            <w:pPr>
              <w:rPr>
                <w:rFonts w:ascii="Candara" w:hAnsi="Candara"/>
              </w:rPr>
            </w:pPr>
          </w:p>
          <w:p w:rsidR="005E1412" w:rsidRDefault="005E1412">
            <w:pPr>
              <w:rPr>
                <w:rFonts w:ascii="Candara" w:hAnsi="Candara"/>
              </w:rPr>
            </w:pPr>
          </w:p>
          <w:p w:rsidR="005E1412" w:rsidRDefault="005E1412">
            <w:pPr>
              <w:rPr>
                <w:rFonts w:ascii="Candara" w:hAnsi="Candara"/>
              </w:rPr>
            </w:pPr>
          </w:p>
        </w:tc>
        <w:tc>
          <w:tcPr>
            <w:tcW w:w="6933" w:type="dxa"/>
          </w:tcPr>
          <w:p w:rsidR="005E1412" w:rsidRDefault="005E1412">
            <w:pPr>
              <w:rPr>
                <w:rFonts w:ascii="Candara" w:hAnsi="Candara"/>
              </w:rPr>
            </w:pPr>
          </w:p>
        </w:tc>
        <w:tc>
          <w:tcPr>
            <w:tcW w:w="1927" w:type="dxa"/>
          </w:tcPr>
          <w:p w:rsidR="005E1412" w:rsidRDefault="005E1412">
            <w:pPr>
              <w:rPr>
                <w:rFonts w:ascii="Candara" w:hAnsi="Candara"/>
              </w:rPr>
            </w:pPr>
          </w:p>
        </w:tc>
      </w:tr>
      <w:tr w:rsidR="005E1412" w:rsidTr="005E1412">
        <w:tc>
          <w:tcPr>
            <w:tcW w:w="1822" w:type="dxa"/>
          </w:tcPr>
          <w:p w:rsidR="005E1412" w:rsidRDefault="005E1412">
            <w:pPr>
              <w:rPr>
                <w:rFonts w:ascii="Candara" w:hAnsi="Candara"/>
              </w:rPr>
            </w:pPr>
          </w:p>
          <w:p w:rsidR="005E1412" w:rsidRDefault="005E1412">
            <w:pPr>
              <w:rPr>
                <w:rFonts w:ascii="Candara" w:hAnsi="Candara"/>
              </w:rPr>
            </w:pPr>
          </w:p>
          <w:p w:rsidR="005E1412" w:rsidRDefault="005E1412">
            <w:pPr>
              <w:rPr>
                <w:rFonts w:ascii="Candara" w:hAnsi="Candara"/>
              </w:rPr>
            </w:pPr>
          </w:p>
          <w:p w:rsidR="005E1412" w:rsidRDefault="005E1412">
            <w:pPr>
              <w:rPr>
                <w:rFonts w:ascii="Candara" w:hAnsi="Candara"/>
              </w:rPr>
            </w:pPr>
          </w:p>
          <w:p w:rsidR="005E1412" w:rsidRDefault="005E1412">
            <w:pPr>
              <w:rPr>
                <w:rFonts w:ascii="Candara" w:hAnsi="Candara"/>
              </w:rPr>
            </w:pPr>
          </w:p>
        </w:tc>
        <w:tc>
          <w:tcPr>
            <w:tcW w:w="6933" w:type="dxa"/>
          </w:tcPr>
          <w:p w:rsidR="005E1412" w:rsidRDefault="005E1412">
            <w:pPr>
              <w:rPr>
                <w:rFonts w:ascii="Candara" w:hAnsi="Candara"/>
              </w:rPr>
            </w:pPr>
          </w:p>
        </w:tc>
        <w:tc>
          <w:tcPr>
            <w:tcW w:w="1927" w:type="dxa"/>
          </w:tcPr>
          <w:p w:rsidR="005E1412" w:rsidRDefault="005E1412">
            <w:pPr>
              <w:rPr>
                <w:rFonts w:ascii="Candara" w:hAnsi="Candara"/>
              </w:rPr>
            </w:pPr>
          </w:p>
        </w:tc>
      </w:tr>
      <w:tr w:rsidR="005E1412" w:rsidTr="005E1412">
        <w:tc>
          <w:tcPr>
            <w:tcW w:w="1822" w:type="dxa"/>
          </w:tcPr>
          <w:p w:rsidR="005E1412" w:rsidRDefault="005E1412">
            <w:pPr>
              <w:rPr>
                <w:rFonts w:ascii="Candara" w:hAnsi="Candara"/>
              </w:rPr>
            </w:pPr>
          </w:p>
          <w:p w:rsidR="005E1412" w:rsidRDefault="005E1412">
            <w:pPr>
              <w:rPr>
                <w:rFonts w:ascii="Candara" w:hAnsi="Candara"/>
              </w:rPr>
            </w:pPr>
          </w:p>
          <w:p w:rsidR="005E1412" w:rsidRDefault="005E1412">
            <w:pPr>
              <w:rPr>
                <w:rFonts w:ascii="Candara" w:hAnsi="Candara"/>
              </w:rPr>
            </w:pPr>
          </w:p>
          <w:p w:rsidR="005E1412" w:rsidRDefault="005E1412">
            <w:pPr>
              <w:rPr>
                <w:rFonts w:ascii="Candara" w:hAnsi="Candara"/>
              </w:rPr>
            </w:pPr>
          </w:p>
          <w:p w:rsidR="005E1412" w:rsidRDefault="005E1412">
            <w:pPr>
              <w:rPr>
                <w:rFonts w:ascii="Candara" w:hAnsi="Candara"/>
              </w:rPr>
            </w:pPr>
          </w:p>
          <w:p w:rsidR="005E1412" w:rsidRDefault="005E1412">
            <w:pPr>
              <w:rPr>
                <w:rFonts w:ascii="Candara" w:hAnsi="Candara"/>
              </w:rPr>
            </w:pPr>
          </w:p>
        </w:tc>
        <w:tc>
          <w:tcPr>
            <w:tcW w:w="6933" w:type="dxa"/>
          </w:tcPr>
          <w:p w:rsidR="005E1412" w:rsidRDefault="005E1412">
            <w:pPr>
              <w:rPr>
                <w:rFonts w:ascii="Candara" w:hAnsi="Candara"/>
              </w:rPr>
            </w:pPr>
          </w:p>
        </w:tc>
        <w:tc>
          <w:tcPr>
            <w:tcW w:w="1927" w:type="dxa"/>
          </w:tcPr>
          <w:p w:rsidR="005E1412" w:rsidRDefault="005E1412">
            <w:pPr>
              <w:rPr>
                <w:rFonts w:ascii="Candara" w:hAnsi="Candara"/>
              </w:rPr>
            </w:pPr>
          </w:p>
        </w:tc>
      </w:tr>
    </w:tbl>
    <w:p w:rsidR="005E1412" w:rsidRPr="00661AF9" w:rsidRDefault="005E1412">
      <w:pPr>
        <w:rPr>
          <w:rFonts w:ascii="Candara" w:hAnsi="Candara"/>
        </w:rPr>
      </w:pPr>
    </w:p>
    <w:sectPr w:rsidR="005E1412" w:rsidRPr="00661AF9" w:rsidSect="007A6DC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40" w:rsidRDefault="00D31540" w:rsidP="0077105A">
      <w:pPr>
        <w:spacing w:after="0" w:line="240" w:lineRule="auto"/>
      </w:pPr>
      <w:r>
        <w:separator/>
      </w:r>
    </w:p>
  </w:endnote>
  <w:endnote w:type="continuationSeparator" w:id="0">
    <w:p w:rsidR="00D31540" w:rsidRDefault="00D31540" w:rsidP="0077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A" w:rsidRDefault="0077105A" w:rsidP="0077105A">
    <w:pPr>
      <w:pStyle w:val="Footer"/>
      <w:jc w:val="right"/>
    </w:pPr>
    <w:r>
      <w:t>Mr Watkins –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40" w:rsidRDefault="00D31540" w:rsidP="0077105A">
      <w:pPr>
        <w:spacing w:after="0" w:line="240" w:lineRule="auto"/>
      </w:pPr>
      <w:r>
        <w:separator/>
      </w:r>
    </w:p>
  </w:footnote>
  <w:footnote w:type="continuationSeparator" w:id="0">
    <w:p w:rsidR="00D31540" w:rsidRDefault="00D31540" w:rsidP="00771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A" w:rsidRDefault="0077105A">
    <w:pPr>
      <w:pStyle w:val="Header"/>
    </w:pPr>
    <w:r>
      <w:t>WatHistory.weebly.com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C9"/>
    <w:rsid w:val="000A00B3"/>
    <w:rsid w:val="001172ED"/>
    <w:rsid w:val="00426C5A"/>
    <w:rsid w:val="005576FC"/>
    <w:rsid w:val="005E1412"/>
    <w:rsid w:val="00661AF9"/>
    <w:rsid w:val="0077105A"/>
    <w:rsid w:val="00793910"/>
    <w:rsid w:val="007A6DC1"/>
    <w:rsid w:val="00965FDF"/>
    <w:rsid w:val="00977E42"/>
    <w:rsid w:val="00CD101D"/>
    <w:rsid w:val="00D21A04"/>
    <w:rsid w:val="00D31540"/>
    <w:rsid w:val="00D946C1"/>
    <w:rsid w:val="00F30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AF9"/>
    <w:pPr>
      <w:spacing w:after="0" w:line="240" w:lineRule="auto"/>
    </w:pPr>
  </w:style>
  <w:style w:type="table" w:styleId="TableGrid">
    <w:name w:val="Table Grid"/>
    <w:basedOn w:val="TableNormal"/>
    <w:uiPriority w:val="59"/>
    <w:rsid w:val="005E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05A"/>
  </w:style>
  <w:style w:type="paragraph" w:styleId="Footer">
    <w:name w:val="footer"/>
    <w:basedOn w:val="Normal"/>
    <w:link w:val="FooterChar"/>
    <w:uiPriority w:val="99"/>
    <w:unhideWhenUsed/>
    <w:rsid w:val="00771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AF9"/>
    <w:pPr>
      <w:spacing w:after="0" w:line="240" w:lineRule="auto"/>
    </w:pPr>
  </w:style>
  <w:style w:type="table" w:styleId="TableGrid">
    <w:name w:val="Table Grid"/>
    <w:basedOn w:val="TableNormal"/>
    <w:uiPriority w:val="59"/>
    <w:rsid w:val="005E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05A"/>
  </w:style>
  <w:style w:type="paragraph" w:styleId="Footer">
    <w:name w:val="footer"/>
    <w:basedOn w:val="Normal"/>
    <w:link w:val="FooterChar"/>
    <w:uiPriority w:val="99"/>
    <w:unhideWhenUsed/>
    <w:rsid w:val="00771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dc:creator>
  <cp:lastModifiedBy>CJW</cp:lastModifiedBy>
  <cp:revision>5</cp:revision>
  <dcterms:created xsi:type="dcterms:W3CDTF">2014-01-19T15:45:00Z</dcterms:created>
  <dcterms:modified xsi:type="dcterms:W3CDTF">2014-01-19T15:48:00Z</dcterms:modified>
</cp:coreProperties>
</file>